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95" w:lineRule="exact" w:before="0"/>
        <w:ind w:right="0" w:firstLine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</w:rPr>
        <w:t>附件</w:t>
      </w:r>
      <w:r>
        <w:rPr>
          <w:rFonts w:ascii="黑体" w:hAnsi="黑体" w:cs="黑体" w:eastAsia="黑体"/>
          <w:spacing w:val="-82"/>
        </w:rPr>
        <w:t> </w:t>
      </w:r>
      <w:r>
        <w:rPr>
          <w:rFonts w:ascii="黑体" w:hAnsi="黑体" w:cs="黑体" w:eastAsia="黑体"/>
        </w:rPr>
        <w:t>4</w:t>
      </w:r>
    </w:p>
    <w:p>
      <w:pPr>
        <w:spacing w:line="240" w:lineRule="auto" w:before="4"/>
        <w:rPr>
          <w:rFonts w:ascii="黑体" w:hAnsi="黑体" w:cs="黑体" w:eastAsia="黑体"/>
          <w:sz w:val="38"/>
          <w:szCs w:val="38"/>
        </w:rPr>
      </w:pPr>
      <w:r>
        <w:rPr/>
        <w:br w:type="column"/>
      </w:r>
      <w:r>
        <w:rPr>
          <w:rFonts w:ascii="黑体"/>
          <w:sz w:val="38"/>
        </w:rPr>
      </w:r>
    </w:p>
    <w:p>
      <w:pPr>
        <w:spacing w:before="0"/>
        <w:ind w:left="120" w:right="0" w:firstLine="0"/>
        <w:jc w:val="left"/>
        <w:rPr>
          <w:rFonts w:ascii="黑体" w:hAnsi="黑体" w:cs="黑体" w:eastAsia="黑体"/>
          <w:sz w:val="44"/>
          <w:szCs w:val="44"/>
        </w:rPr>
      </w:pPr>
      <w:r>
        <w:rPr>
          <w:rFonts w:ascii="黑体" w:hAnsi="黑体" w:cs="黑体" w:eastAsia="黑体"/>
          <w:sz w:val="44"/>
          <w:szCs w:val="44"/>
        </w:rPr>
        <w:t>企业不良行为</w:t>
      </w:r>
    </w:p>
    <w:p>
      <w:pPr>
        <w:spacing w:after="0"/>
        <w:jc w:val="left"/>
        <w:rPr>
          <w:rFonts w:ascii="黑体" w:hAnsi="黑体" w:cs="黑体" w:eastAsia="黑体"/>
          <w:sz w:val="44"/>
          <w:szCs w:val="44"/>
        </w:rPr>
        <w:sectPr>
          <w:footerReference w:type="default" r:id="rId5"/>
          <w:type w:val="continuous"/>
          <w:pgSz w:w="11910" w:h="16840"/>
          <w:pgMar w:footer="975" w:top="1500" w:bottom="1160" w:left="1680" w:right="1680"/>
          <w:pgNumType w:start="1"/>
          <w:cols w:num="2" w:equalWidth="0">
            <w:col w:w="1000" w:space="1640"/>
            <w:col w:w="5910"/>
          </w:cols>
        </w:sectPr>
      </w:pPr>
    </w:p>
    <w:p>
      <w:pPr>
        <w:spacing w:line="240" w:lineRule="auto" w:before="0"/>
        <w:rPr>
          <w:rFonts w:ascii="黑体" w:hAnsi="黑体" w:cs="黑体" w:eastAsia="黑体"/>
          <w:sz w:val="20"/>
          <w:szCs w:val="20"/>
        </w:rPr>
      </w:pPr>
    </w:p>
    <w:p>
      <w:pPr>
        <w:spacing w:line="240" w:lineRule="auto" w:before="0"/>
        <w:rPr>
          <w:rFonts w:ascii="黑体" w:hAnsi="黑体" w:cs="黑体" w:eastAsia="黑体"/>
          <w:sz w:val="20"/>
          <w:szCs w:val="20"/>
        </w:rPr>
      </w:pPr>
    </w:p>
    <w:p>
      <w:pPr>
        <w:spacing w:line="240" w:lineRule="auto" w:before="12"/>
        <w:rPr>
          <w:rFonts w:ascii="黑体" w:hAnsi="黑体" w:cs="黑体" w:eastAsia="黑体"/>
          <w:sz w:val="18"/>
          <w:szCs w:val="18"/>
        </w:rPr>
      </w:pPr>
    </w:p>
    <w:p>
      <w:pPr>
        <w:pStyle w:val="BodyText"/>
        <w:spacing w:line="240" w:lineRule="auto" w:before="0"/>
        <w:ind w:right="0" w:firstLine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</w:rPr>
        <w:t>一、专用设备生产安装企业的不良行为：</w:t>
      </w:r>
    </w:p>
    <w:p>
      <w:pPr>
        <w:pStyle w:val="BodyText"/>
        <w:spacing w:line="357" w:lineRule="auto" w:before="205"/>
        <w:ind w:right="0"/>
        <w:jc w:val="left"/>
      </w:pPr>
      <w:r>
        <w:rPr>
          <w:spacing w:val="7"/>
          <w:w w:val="95"/>
        </w:rPr>
        <w:t>1、提供虚假材料，骗取《人民防空工程防护（化）设</w:t>
      </w:r>
      <w:r>
        <w:rPr>
          <w:w w:val="99"/>
        </w:rPr>
        <w:t> </w:t>
      </w:r>
      <w:r>
        <w:rPr/>
        <w:t>备定点生产企业资格认定证书》证书的;</w:t>
      </w:r>
    </w:p>
    <w:p>
      <w:pPr>
        <w:pStyle w:val="BodyText"/>
        <w:spacing w:line="357" w:lineRule="auto"/>
        <w:ind w:right="0"/>
        <w:jc w:val="left"/>
      </w:pPr>
      <w:r>
        <w:rPr>
          <w:spacing w:val="7"/>
          <w:w w:val="95"/>
        </w:rPr>
        <w:t>2、不按照国家规定的标准或者擅自更改图纸生产人防</w:t>
      </w:r>
      <w:r>
        <w:rPr>
          <w:w w:val="99"/>
        </w:rPr>
        <w:t> </w:t>
      </w:r>
      <w:r>
        <w:rPr/>
        <w:t>设备，导致产品出现严重质量缺陷的;</w:t>
      </w:r>
    </w:p>
    <w:p>
      <w:pPr>
        <w:pStyle w:val="BodyText"/>
        <w:spacing w:line="357" w:lineRule="auto"/>
        <w:ind w:right="0"/>
        <w:jc w:val="left"/>
      </w:pPr>
      <w:r>
        <w:rPr>
          <w:spacing w:val="7"/>
          <w:w w:val="95"/>
        </w:rPr>
        <w:t>3、在接受行政主管部门（或其委托的质量监督机构）</w:t>
      </w:r>
      <w:r>
        <w:rPr>
          <w:w w:val="99"/>
        </w:rPr>
        <w:t> </w:t>
      </w:r>
      <w:r>
        <w:rPr/>
        <w:t>以及有关产品质量检测机构的检测、检验中弄虚作假的;</w:t>
      </w:r>
    </w:p>
    <w:p>
      <w:pPr>
        <w:pStyle w:val="BodyText"/>
        <w:spacing w:line="240" w:lineRule="auto"/>
        <w:ind w:left="760" w:right="0" w:firstLine="0"/>
        <w:jc w:val="left"/>
      </w:pPr>
      <w:r>
        <w:rPr/>
        <w:t>4、允许其他企业挂靠生产或者套牌销售的;</w:t>
      </w:r>
    </w:p>
    <w:p>
      <w:pPr>
        <w:pStyle w:val="BodyText"/>
        <w:spacing w:line="240" w:lineRule="auto" w:before="205"/>
        <w:ind w:left="748" w:right="0" w:firstLine="0"/>
        <w:jc w:val="left"/>
      </w:pPr>
      <w:r>
        <w:rPr/>
        <w:t>5、偷工减料制造、销售伪劣人防设备的;</w:t>
      </w:r>
    </w:p>
    <w:p>
      <w:pPr>
        <w:pStyle w:val="BodyText"/>
        <w:spacing w:line="240" w:lineRule="auto" w:before="205"/>
        <w:ind w:left="748" w:right="0" w:firstLine="0"/>
        <w:jc w:val="left"/>
      </w:pPr>
      <w:r>
        <w:rPr/>
        <w:t>6、以其他企业的产品冒充本企业产品销售的；</w:t>
      </w:r>
    </w:p>
    <w:p>
      <w:pPr>
        <w:pStyle w:val="BodyText"/>
        <w:spacing w:line="357" w:lineRule="auto" w:before="205"/>
        <w:ind w:right="0"/>
        <w:jc w:val="left"/>
      </w:pPr>
      <w:r>
        <w:rPr>
          <w:spacing w:val="7"/>
          <w:w w:val="95"/>
        </w:rPr>
        <w:t>7、生产安装的人防设备出现质量问题，经警告、责令</w:t>
      </w:r>
      <w:r>
        <w:rPr>
          <w:w w:val="99"/>
        </w:rPr>
        <w:t> </w:t>
      </w:r>
      <w:r>
        <w:rPr/>
        <w:t>整改后仍不改正的;</w:t>
      </w:r>
    </w:p>
    <w:p>
      <w:pPr>
        <w:pStyle w:val="BodyText"/>
        <w:spacing w:line="357" w:lineRule="auto"/>
        <w:ind w:right="0"/>
        <w:jc w:val="left"/>
      </w:pPr>
      <w:r>
        <w:rPr>
          <w:spacing w:val="7"/>
          <w:w w:val="95"/>
        </w:rPr>
        <w:t>8、生产、销售、安装不合格或者国家明令淘汰的人防</w:t>
      </w:r>
      <w:r>
        <w:rPr>
          <w:w w:val="99"/>
        </w:rPr>
        <w:t> </w:t>
      </w:r>
      <w:r>
        <w:rPr/>
        <w:t>设备的;</w:t>
      </w:r>
    </w:p>
    <w:p>
      <w:pPr>
        <w:pStyle w:val="BodyText"/>
        <w:spacing w:line="357" w:lineRule="auto"/>
        <w:ind w:right="0"/>
        <w:jc w:val="left"/>
      </w:pPr>
      <w:r>
        <w:rPr>
          <w:spacing w:val="7"/>
          <w:w w:val="95"/>
        </w:rPr>
        <w:t>9、在产品质保期内，对产品出现的质量问题拒不履行</w:t>
      </w:r>
      <w:r>
        <w:rPr>
          <w:w w:val="99"/>
        </w:rPr>
        <w:t> </w:t>
      </w:r>
      <w:r>
        <w:rPr/>
        <w:t>维修、更换责任的;</w:t>
      </w:r>
    </w:p>
    <w:p>
      <w:pPr>
        <w:pStyle w:val="BodyText"/>
        <w:spacing w:line="357" w:lineRule="auto"/>
        <w:ind w:right="0"/>
        <w:jc w:val="left"/>
      </w:pPr>
      <w:r>
        <w:rPr>
          <w:w w:val="95"/>
        </w:rPr>
        <w:t>10、维修、更换质保期内正常使用的产品，超出约定期</w:t>
      </w:r>
      <w:r>
        <w:rPr>
          <w:w w:val="99"/>
        </w:rPr>
        <w:t> </w:t>
      </w:r>
      <w:r>
        <w:rPr/>
        <w:t>限或者收取费用的；</w:t>
      </w:r>
    </w:p>
    <w:p>
      <w:pPr>
        <w:pStyle w:val="BodyText"/>
        <w:spacing w:line="240" w:lineRule="auto"/>
        <w:ind w:left="748" w:right="0" w:firstLine="0"/>
        <w:jc w:val="left"/>
      </w:pPr>
      <w:r>
        <w:rPr/>
        <w:t>11、维修、更换超过质保期但在寿命期内的产品，超出</w:t>
      </w:r>
    </w:p>
    <w:p>
      <w:pPr>
        <w:spacing w:after="0" w:line="240" w:lineRule="auto"/>
        <w:jc w:val="left"/>
        <w:sectPr>
          <w:type w:val="continuous"/>
          <w:pgSz w:w="11910" w:h="16840"/>
          <w:pgMar w:top="1500" w:bottom="1160" w:left="1680" w:right="1680"/>
        </w:sectPr>
      </w:pPr>
    </w:p>
    <w:p>
      <w:pPr>
        <w:pStyle w:val="BodyText"/>
        <w:spacing w:line="395" w:lineRule="exact" w:before="0"/>
        <w:ind w:left="748" w:right="0" w:hanging="629"/>
        <w:jc w:val="left"/>
      </w:pPr>
      <w:r>
        <w:rPr/>
        <w:t>约定期限或者违规收取费用的。</w:t>
      </w:r>
    </w:p>
    <w:p>
      <w:pPr>
        <w:pStyle w:val="BodyText"/>
        <w:spacing w:line="357" w:lineRule="auto" w:before="205"/>
        <w:ind w:right="0"/>
        <w:jc w:val="left"/>
      </w:pPr>
      <w:r>
        <w:rPr>
          <w:w w:val="95"/>
        </w:rPr>
        <w:t>12、违反国家有关价格管理规定，低于成本价销售产品</w:t>
      </w:r>
      <w:r>
        <w:rPr>
          <w:w w:val="99"/>
        </w:rPr>
        <w:t> </w:t>
      </w:r>
      <w:r>
        <w:rPr/>
        <w:t>或者进行价格垄断的;</w:t>
      </w:r>
    </w:p>
    <w:p>
      <w:pPr>
        <w:pStyle w:val="BodyText"/>
        <w:spacing w:line="357" w:lineRule="auto"/>
        <w:ind w:right="120"/>
        <w:jc w:val="left"/>
        <w:rPr>
          <w:rFonts w:ascii="黑体" w:hAnsi="黑体" w:cs="黑体" w:eastAsia="黑体"/>
        </w:rPr>
      </w:pPr>
      <w:r>
        <w:rPr>
          <w:w w:val="95"/>
        </w:rPr>
        <w:t>13、其他违犯产品质量和工商管理有关法律、法规的行</w:t>
      </w:r>
      <w:r>
        <w:rPr>
          <w:w w:val="99"/>
        </w:rPr>
        <w:t> </w:t>
      </w:r>
      <w:r>
        <w:rPr/>
        <w:t>为。</w:t>
      </w:r>
      <w:r>
        <w:rPr>
          <w:w w:val="99"/>
        </w:rPr>
        <w:t> </w:t>
      </w:r>
      <w:r>
        <w:rPr>
          <w:rFonts w:ascii="黑体" w:hAnsi="黑体" w:cs="黑体" w:eastAsia="黑体"/>
        </w:rPr>
        <w:t>二、人防工程建设（施工、使用）单位的以不良行为：</w:t>
      </w:r>
    </w:p>
    <w:p>
      <w:pPr>
        <w:pStyle w:val="BodyText"/>
        <w:spacing w:line="357" w:lineRule="auto"/>
        <w:ind w:right="0"/>
        <w:jc w:val="left"/>
      </w:pPr>
      <w:r>
        <w:rPr>
          <w:spacing w:val="7"/>
          <w:w w:val="95"/>
        </w:rPr>
        <w:t>1、不按人防主管部门认可的施工图设计文件选用人防</w:t>
      </w:r>
      <w:r>
        <w:rPr>
          <w:w w:val="99"/>
        </w:rPr>
        <w:t> </w:t>
      </w:r>
      <w:r>
        <w:rPr/>
        <w:t>设备；</w:t>
      </w:r>
    </w:p>
    <w:p>
      <w:pPr>
        <w:pStyle w:val="BodyText"/>
        <w:spacing w:line="240" w:lineRule="auto"/>
        <w:ind w:left="748" w:right="0" w:firstLine="0"/>
        <w:jc w:val="left"/>
      </w:pPr>
      <w:r>
        <w:rPr/>
        <w:t>2、向无资质（资格）的企业或个人采购人防设备；</w:t>
      </w:r>
    </w:p>
    <w:p>
      <w:pPr>
        <w:pStyle w:val="BodyText"/>
        <w:spacing w:line="240" w:lineRule="auto" w:before="205"/>
        <w:ind w:left="748" w:right="0" w:firstLine="0"/>
        <w:jc w:val="left"/>
      </w:pPr>
      <w:r>
        <w:rPr/>
        <w:t>3、要求人防设备生产安装企业降低产品质量标准；</w:t>
      </w:r>
    </w:p>
    <w:p>
      <w:pPr>
        <w:pStyle w:val="BodyText"/>
        <w:spacing w:line="240" w:lineRule="auto" w:before="205"/>
        <w:ind w:left="748" w:right="0" w:firstLine="0"/>
        <w:jc w:val="left"/>
      </w:pPr>
      <w:r>
        <w:rPr/>
        <w:t>4、人防设备未验收合格工程即投入使用的；</w:t>
      </w:r>
    </w:p>
    <w:p>
      <w:pPr>
        <w:pStyle w:val="BodyText"/>
        <w:spacing w:line="357" w:lineRule="auto" w:before="205"/>
        <w:ind w:right="0"/>
        <w:jc w:val="left"/>
      </w:pPr>
      <w:r>
        <w:rPr>
          <w:spacing w:val="7"/>
          <w:w w:val="95"/>
        </w:rPr>
        <w:t>5、已投入使用人防工程的人防设备未按规定养护或被</w:t>
      </w:r>
      <w:r>
        <w:rPr>
          <w:w w:val="99"/>
        </w:rPr>
        <w:t> </w:t>
      </w:r>
      <w:r>
        <w:rPr/>
        <w:t>拆除、损毁的；</w:t>
      </w:r>
    </w:p>
    <w:p>
      <w:pPr>
        <w:pStyle w:val="BodyText"/>
        <w:spacing w:line="240" w:lineRule="auto"/>
        <w:ind w:left="748" w:right="0" w:firstLine="0"/>
        <w:jc w:val="left"/>
      </w:pPr>
      <w:r>
        <w:rPr/>
        <w:t>6、拒不接受行政主管部门的监督检查。</w:t>
      </w:r>
    </w:p>
    <w:sectPr>
      <w:pgSz w:w="11910" w:h="16840"/>
      <w:pgMar w:header="0" w:footer="975" w:top="1500" w:bottom="116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Calibri">
    <w:altName w:val="Calibri"/>
    <w:charset w:val="0"/>
    <w:family w:val="swiss"/>
    <w:pitch w:val="variable"/>
  </w:font>
  <w:font w:name="仿宋_GB2312">
    <w:altName w:val="仿宋_GB2312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759003pt;margin-top:782.140015pt;width:8.6pt;height:11pt;mso-position-horizontal-relative:page;mso-position-vertical-relative:page;z-index:-2512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8"/>
      <w:ind w:left="120" w:firstLine="628"/>
    </w:pPr>
    <w:rPr>
      <w:rFonts w:ascii="仿宋_GB2312" w:hAnsi="仿宋_GB2312" w:eastAsia="仿宋_GB2312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2018-03-28T11:02:47Z</dcterms:created>
  <dcterms:modified xsi:type="dcterms:W3CDTF">2018-03-28T11:02:47Z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2018-03-28T00:00:00Z</vt:filetime>
  </property>
</Properties>
</file>